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88DB" w14:textId="77777777" w:rsidR="00F641CF" w:rsidRDefault="00F641CF" w:rsidP="00F641CF">
      <w:pPr>
        <w:spacing w:line="240" w:lineRule="auto"/>
        <w:rPr>
          <w:rFonts w:ascii="Arial" w:hAnsi="Arial" w:cs="Arial"/>
          <w:b/>
          <w:color w:val="A50021"/>
          <w:sz w:val="28"/>
          <w:szCs w:val="28"/>
        </w:rPr>
      </w:pPr>
      <w:r>
        <w:rPr>
          <w:noProof/>
          <w:lang w:eastAsia="en-ZA"/>
        </w:rPr>
        <w:drawing>
          <wp:inline distT="0" distB="0" distL="0" distR="0" wp14:anchorId="00B5F582" wp14:editId="3EE5D40D">
            <wp:extent cx="1262418" cy="526007"/>
            <wp:effectExtent l="0" t="0" r="0" b="7620"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23" cy="52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9B83A7" w14:textId="148CE4EC" w:rsidR="00A50A2F" w:rsidRPr="00F458CB" w:rsidRDefault="00A50A2F" w:rsidP="00F458CB">
      <w:pPr>
        <w:spacing w:after="120"/>
        <w:rPr>
          <w:rFonts w:ascii="Arial" w:hAnsi="Arial" w:cs="Arial"/>
          <w:b/>
          <w:color w:val="A50021"/>
          <w:sz w:val="6"/>
          <w:szCs w:val="6"/>
        </w:rPr>
      </w:pPr>
      <w:r w:rsidRPr="006E18B2">
        <w:rPr>
          <w:b/>
          <w:bCs/>
          <w:u w:val="single"/>
        </w:rPr>
        <w:t xml:space="preserve">Changes </w:t>
      </w:r>
      <w:r w:rsidR="00E37DE8" w:rsidRPr="006E18B2">
        <w:rPr>
          <w:b/>
          <w:bCs/>
          <w:u w:val="single"/>
        </w:rPr>
        <w:t>regarding</w:t>
      </w:r>
      <w:r w:rsidRPr="006E18B2">
        <w:rPr>
          <w:b/>
          <w:bCs/>
          <w:u w:val="single"/>
        </w:rPr>
        <w:t xml:space="preserve"> the Service Billing (SB) E-doc</w:t>
      </w:r>
    </w:p>
    <w:p w14:paraId="4C3E7917" w14:textId="0F3D6D6C" w:rsidR="004E2F99" w:rsidRPr="006E18B2" w:rsidRDefault="007966FD" w:rsidP="007966FD">
      <w:pPr>
        <w:pStyle w:val="ListParagraph"/>
        <w:numPr>
          <w:ilvl w:val="0"/>
          <w:numId w:val="1"/>
        </w:numPr>
      </w:pPr>
      <w:r w:rsidRPr="006E18B2">
        <w:rPr>
          <w:lang w:val="en-US"/>
        </w:rPr>
        <w:t xml:space="preserve">Routing was amended to include </w:t>
      </w:r>
    </w:p>
    <w:p w14:paraId="75643484" w14:textId="376E4DCC" w:rsidR="007966FD" w:rsidRPr="006E18B2" w:rsidRDefault="007966FD" w:rsidP="007966FD">
      <w:pPr>
        <w:pStyle w:val="ListParagraph"/>
        <w:numPr>
          <w:ilvl w:val="1"/>
          <w:numId w:val="1"/>
        </w:numPr>
      </w:pPr>
      <w:r w:rsidRPr="006E18B2">
        <w:rPr>
          <w:lang w:val="en-US"/>
        </w:rPr>
        <w:t>Approval from the Fiscal Officer</w:t>
      </w:r>
      <w:r w:rsidR="00934A70">
        <w:rPr>
          <w:lang w:val="en-US"/>
        </w:rPr>
        <w:t xml:space="preserve"> (FO)</w:t>
      </w:r>
    </w:p>
    <w:p w14:paraId="533F0EA8" w14:textId="517C3F6D" w:rsidR="007966FD" w:rsidRPr="006E18B2" w:rsidRDefault="007966FD" w:rsidP="007966FD">
      <w:pPr>
        <w:pStyle w:val="ListParagraph"/>
        <w:numPr>
          <w:ilvl w:val="1"/>
          <w:numId w:val="1"/>
        </w:numPr>
      </w:pPr>
      <w:r w:rsidRPr="006E18B2">
        <w:rPr>
          <w:lang w:val="en-US"/>
        </w:rPr>
        <w:t>FYI from the Account Supervisor (</w:t>
      </w:r>
      <w:proofErr w:type="spellStart"/>
      <w:r w:rsidRPr="006E18B2">
        <w:rPr>
          <w:lang w:val="en-US"/>
        </w:rPr>
        <w:t>Organisation</w:t>
      </w:r>
      <w:proofErr w:type="spellEnd"/>
      <w:r w:rsidRPr="006E18B2">
        <w:rPr>
          <w:lang w:val="en-US"/>
        </w:rPr>
        <w:t xml:space="preserve"> Manager)</w:t>
      </w:r>
    </w:p>
    <w:p w14:paraId="269A1AAE" w14:textId="1156CE6F" w:rsidR="00F8073C" w:rsidRPr="006E18B2" w:rsidRDefault="00F8073C" w:rsidP="00F8073C">
      <w:pPr>
        <w:pStyle w:val="ListParagraph"/>
        <w:numPr>
          <w:ilvl w:val="2"/>
          <w:numId w:val="1"/>
        </w:numPr>
      </w:pPr>
      <w:r w:rsidRPr="006E18B2">
        <w:t>Please note:  The Account Supervisor’s FYI will only become visible in the route log after the FO’s approval.</w:t>
      </w:r>
    </w:p>
    <w:p w14:paraId="369F9EF3" w14:textId="4C1088D4" w:rsidR="00D9451E" w:rsidRPr="00D9451E" w:rsidRDefault="00077777" w:rsidP="00D9451E">
      <w:pPr>
        <w:pStyle w:val="ListParagraph"/>
        <w:numPr>
          <w:ilvl w:val="0"/>
          <w:numId w:val="1"/>
        </w:numPr>
      </w:pPr>
      <w:r w:rsidRPr="006E18B2">
        <w:rPr>
          <w:lang w:val="en-US"/>
        </w:rPr>
        <w:t xml:space="preserve">The Fiscal Officer should verify </w:t>
      </w:r>
      <w:r w:rsidR="002C0714">
        <w:rPr>
          <w:lang w:val="en-US"/>
        </w:rPr>
        <w:t xml:space="preserve">that </w:t>
      </w:r>
      <w:r w:rsidRPr="006E18B2">
        <w:rPr>
          <w:lang w:val="en-US"/>
        </w:rPr>
        <w:t>the following</w:t>
      </w:r>
      <w:r w:rsidR="002C0714">
        <w:rPr>
          <w:lang w:val="en-US"/>
        </w:rPr>
        <w:t xml:space="preserve"> is </w:t>
      </w:r>
      <w:r w:rsidR="00F26434">
        <w:rPr>
          <w:lang w:val="en-US"/>
        </w:rPr>
        <w:t>correct</w:t>
      </w:r>
      <w:r w:rsidRPr="006E18B2">
        <w:rPr>
          <w:lang w:val="en-US"/>
        </w:rPr>
        <w:t>:</w:t>
      </w:r>
    </w:p>
    <w:p w14:paraId="24A19656" w14:textId="77777777" w:rsidR="00D9451E" w:rsidRPr="006E18B2" w:rsidRDefault="00D9451E" w:rsidP="00D9451E">
      <w:pPr>
        <w:pStyle w:val="ListParagraph"/>
        <w:numPr>
          <w:ilvl w:val="1"/>
          <w:numId w:val="1"/>
        </w:numPr>
      </w:pPr>
      <w:r w:rsidRPr="006E18B2">
        <w:rPr>
          <w:lang w:val="en-US"/>
        </w:rPr>
        <w:t>Is the transaction for internal services rendered?</w:t>
      </w:r>
    </w:p>
    <w:p w14:paraId="6C9325F0" w14:textId="7BACFE2B" w:rsidR="00077777" w:rsidRPr="006E18B2" w:rsidRDefault="00077777" w:rsidP="00077777">
      <w:pPr>
        <w:pStyle w:val="ListParagraph"/>
        <w:numPr>
          <w:ilvl w:val="1"/>
          <w:numId w:val="1"/>
        </w:numPr>
      </w:pPr>
      <w:r w:rsidRPr="006E18B2">
        <w:rPr>
          <w:lang w:val="en-US"/>
        </w:rPr>
        <w:t>Is the correct account(s)</w:t>
      </w:r>
      <w:r w:rsidR="00670393" w:rsidRPr="006E18B2">
        <w:rPr>
          <w:lang w:val="en-US"/>
        </w:rPr>
        <w:t xml:space="preserve"> and object(s)</w:t>
      </w:r>
      <w:r w:rsidRPr="006E18B2">
        <w:rPr>
          <w:lang w:val="en-US"/>
        </w:rPr>
        <w:t xml:space="preserve"> used?</w:t>
      </w:r>
      <w:r w:rsidR="0054500C" w:rsidRPr="006E18B2">
        <w:rPr>
          <w:lang w:val="en-US"/>
        </w:rPr>
        <w:t xml:space="preserve"> </w:t>
      </w:r>
    </w:p>
    <w:p w14:paraId="0165C29F" w14:textId="4D825EA8" w:rsidR="002C7054" w:rsidRPr="00196F11" w:rsidRDefault="002C7054" w:rsidP="00077777">
      <w:pPr>
        <w:pStyle w:val="ListParagraph"/>
        <w:numPr>
          <w:ilvl w:val="1"/>
          <w:numId w:val="1"/>
        </w:numPr>
      </w:pPr>
      <w:r w:rsidRPr="006E18B2">
        <w:rPr>
          <w:lang w:val="en-US"/>
        </w:rPr>
        <w:t>Is</w:t>
      </w:r>
      <w:r w:rsidR="0054500C" w:rsidRPr="006E18B2">
        <w:rPr>
          <w:lang w:val="en-US"/>
        </w:rPr>
        <w:t xml:space="preserve"> </w:t>
      </w:r>
      <w:r w:rsidRPr="006E18B2">
        <w:rPr>
          <w:lang w:val="en-US"/>
        </w:rPr>
        <w:t xml:space="preserve">the correct expense object </w:t>
      </w:r>
      <w:r w:rsidR="0054500C" w:rsidRPr="006E18B2">
        <w:rPr>
          <w:lang w:val="en-US"/>
        </w:rPr>
        <w:t>used according to the Object Guidelines</w:t>
      </w:r>
      <w:r w:rsidRPr="006E18B2">
        <w:rPr>
          <w:lang w:val="en-US"/>
        </w:rPr>
        <w:t>?</w:t>
      </w:r>
    </w:p>
    <w:p w14:paraId="1D763D35" w14:textId="797190E5" w:rsidR="00196F11" w:rsidRPr="006E18B2" w:rsidRDefault="00196F11" w:rsidP="00077777">
      <w:pPr>
        <w:pStyle w:val="ListParagraph"/>
        <w:numPr>
          <w:ilvl w:val="1"/>
          <w:numId w:val="1"/>
        </w:numPr>
      </w:pPr>
      <w:r>
        <w:rPr>
          <w:lang w:val="en-US"/>
        </w:rPr>
        <w:t>Is the correct internal income object used?</w:t>
      </w:r>
    </w:p>
    <w:p w14:paraId="07DB906F" w14:textId="74E369F4" w:rsidR="00670393" w:rsidRPr="006E18B2" w:rsidRDefault="00670393" w:rsidP="00077777">
      <w:pPr>
        <w:pStyle w:val="ListParagraph"/>
        <w:numPr>
          <w:ilvl w:val="1"/>
          <w:numId w:val="1"/>
        </w:numPr>
      </w:pPr>
      <w:r w:rsidRPr="006E18B2">
        <w:rPr>
          <w:lang w:val="en-US"/>
        </w:rPr>
        <w:t>I</w:t>
      </w:r>
      <w:r w:rsidR="00EE6D5C" w:rsidRPr="006E18B2">
        <w:rPr>
          <w:lang w:val="en-US"/>
        </w:rPr>
        <w:t>s</w:t>
      </w:r>
      <w:r w:rsidRPr="006E18B2">
        <w:rPr>
          <w:lang w:val="en-US"/>
        </w:rPr>
        <w:t xml:space="preserve"> the amount correct?</w:t>
      </w:r>
      <w:r w:rsidR="002C7054" w:rsidRPr="006E18B2">
        <w:rPr>
          <w:lang w:val="en-US"/>
        </w:rPr>
        <w:t xml:space="preserve">  </w:t>
      </w:r>
      <w:r w:rsidR="00143790" w:rsidRPr="006E18B2">
        <w:rPr>
          <w:lang w:val="en-US"/>
        </w:rPr>
        <w:t>Refer</w:t>
      </w:r>
      <w:r w:rsidR="002C7054" w:rsidRPr="006E18B2">
        <w:rPr>
          <w:lang w:val="en-US"/>
        </w:rPr>
        <w:t xml:space="preserve"> to </w:t>
      </w:r>
      <w:r w:rsidR="00AA1856" w:rsidRPr="006E18B2">
        <w:rPr>
          <w:lang w:val="en-US"/>
        </w:rPr>
        <w:t xml:space="preserve">the </w:t>
      </w:r>
      <w:r w:rsidR="002C7054" w:rsidRPr="006E18B2">
        <w:rPr>
          <w:lang w:val="en-US"/>
        </w:rPr>
        <w:t>supporting documentation</w:t>
      </w:r>
      <w:r w:rsidR="00AA1856" w:rsidRPr="006E18B2">
        <w:rPr>
          <w:lang w:val="en-US"/>
        </w:rPr>
        <w:t xml:space="preserve"> attached to the transaction.</w:t>
      </w:r>
    </w:p>
    <w:p w14:paraId="605D5446" w14:textId="5FB15EDC" w:rsidR="00274961" w:rsidRPr="006E18B2" w:rsidRDefault="00694203" w:rsidP="00077777">
      <w:pPr>
        <w:pStyle w:val="ListParagraph"/>
        <w:numPr>
          <w:ilvl w:val="1"/>
          <w:numId w:val="1"/>
        </w:numPr>
      </w:pPr>
      <w:r w:rsidRPr="006E18B2">
        <w:t xml:space="preserve">Is </w:t>
      </w:r>
      <w:r w:rsidR="00077777" w:rsidRPr="006E18B2">
        <w:t>supporting documentation attached</w:t>
      </w:r>
      <w:r w:rsidR="002C7054" w:rsidRPr="006E18B2">
        <w:t xml:space="preserve"> </w:t>
      </w:r>
      <w:r w:rsidR="006E18B2" w:rsidRPr="006E18B2">
        <w:t>to</w:t>
      </w:r>
      <w:r w:rsidR="002C7054" w:rsidRPr="006E18B2">
        <w:t xml:space="preserve"> the transaction</w:t>
      </w:r>
      <w:r w:rsidRPr="006E18B2">
        <w:t>?</w:t>
      </w:r>
      <w:r w:rsidR="002C7054" w:rsidRPr="006E18B2">
        <w:t xml:space="preserve">  </w:t>
      </w:r>
    </w:p>
    <w:p w14:paraId="1242B4CA" w14:textId="77777777" w:rsidR="000A1645" w:rsidRDefault="002C7054" w:rsidP="00274961">
      <w:pPr>
        <w:pStyle w:val="ListParagraph"/>
        <w:numPr>
          <w:ilvl w:val="2"/>
          <w:numId w:val="1"/>
        </w:numPr>
      </w:pPr>
      <w:r w:rsidRPr="006E18B2">
        <w:t>Supporting documentation</w:t>
      </w:r>
      <w:r w:rsidR="00274961" w:rsidRPr="006E18B2">
        <w:t xml:space="preserve"> </w:t>
      </w:r>
      <w:r w:rsidRPr="006E18B2">
        <w:t>include</w:t>
      </w:r>
      <w:r w:rsidR="006E18B2">
        <w:t>s</w:t>
      </w:r>
      <w:r w:rsidRPr="006E18B2">
        <w:t xml:space="preserve"> </w:t>
      </w:r>
      <w:r w:rsidR="00143790" w:rsidRPr="006E18B2">
        <w:t xml:space="preserve">any documentation </w:t>
      </w:r>
      <w:r w:rsidR="006E18B2">
        <w:t xml:space="preserve">that </w:t>
      </w:r>
      <w:r w:rsidR="00143790" w:rsidRPr="006E18B2">
        <w:t xml:space="preserve">support why the transaction is taking place.  </w:t>
      </w:r>
      <w:r w:rsidR="00274961" w:rsidRPr="006E18B2">
        <w:t xml:space="preserve">It </w:t>
      </w:r>
      <w:r w:rsidR="00B66C08">
        <w:t>must</w:t>
      </w:r>
      <w:r w:rsidR="00274961" w:rsidRPr="006E18B2">
        <w:t xml:space="preserve"> give sufficient background and evidence about the purpose of the transaction </w:t>
      </w:r>
      <w:r w:rsidR="007D1E05" w:rsidRPr="006E18B2">
        <w:t>for</w:t>
      </w:r>
      <w:r w:rsidR="00274961" w:rsidRPr="006E18B2">
        <w:t xml:space="preserve"> the Fiscal Officer to evaluate and approve/disapprove the transaction.  </w:t>
      </w:r>
      <w:r w:rsidR="00143790" w:rsidRPr="006E18B2">
        <w:t xml:space="preserve">It can include </w:t>
      </w:r>
      <w:r w:rsidRPr="006E18B2">
        <w:t xml:space="preserve">emails, </w:t>
      </w:r>
      <w:r w:rsidR="00274961" w:rsidRPr="006E18B2">
        <w:t xml:space="preserve">job requests, registration forms (conferences), </w:t>
      </w:r>
      <w:r w:rsidRPr="006E18B2">
        <w:t xml:space="preserve">application form (fleet vehicles) etc.  </w:t>
      </w:r>
    </w:p>
    <w:p w14:paraId="385DF038" w14:textId="05A12630" w:rsidR="00077777" w:rsidRPr="006E18B2" w:rsidRDefault="00A551FB" w:rsidP="00274961">
      <w:pPr>
        <w:pStyle w:val="ListParagraph"/>
        <w:numPr>
          <w:ilvl w:val="2"/>
          <w:numId w:val="1"/>
        </w:numPr>
      </w:pPr>
      <w:r>
        <w:t xml:space="preserve">Supporting documentation must at least indicate which departments </w:t>
      </w:r>
      <w:r w:rsidR="00B45A5A">
        <w:t>are</w:t>
      </w:r>
      <w:r>
        <w:t xml:space="preserve"> involved, the purpose of the transaction and the amount.</w:t>
      </w:r>
    </w:p>
    <w:p w14:paraId="7BE33C21" w14:textId="6FB30A7C" w:rsidR="008D0FC2" w:rsidRPr="006E18B2" w:rsidRDefault="00670393" w:rsidP="008D0FC2">
      <w:pPr>
        <w:pStyle w:val="ListParagraph"/>
        <w:numPr>
          <w:ilvl w:val="0"/>
          <w:numId w:val="1"/>
        </w:numPr>
      </w:pPr>
      <w:r w:rsidRPr="006E18B2">
        <w:t>The F</w:t>
      </w:r>
      <w:r w:rsidR="008D0FC2" w:rsidRPr="006E18B2">
        <w:t xml:space="preserve">iscal Officer cannot </w:t>
      </w:r>
      <w:r w:rsidR="00A551FB">
        <w:t>amend</w:t>
      </w:r>
      <w:r w:rsidR="008D0FC2" w:rsidRPr="006E18B2">
        <w:t xml:space="preserve"> any information in the accounting line(s).  If </w:t>
      </w:r>
      <w:r w:rsidR="00CC3770" w:rsidRPr="006E18B2">
        <w:t xml:space="preserve">any of </w:t>
      </w:r>
      <w:r w:rsidR="008D0FC2" w:rsidRPr="006E18B2">
        <w:t xml:space="preserve">the information is incorrect, or the </w:t>
      </w:r>
      <w:r w:rsidR="007551F7" w:rsidRPr="006E18B2">
        <w:t xml:space="preserve">type of </w:t>
      </w:r>
      <w:r w:rsidR="008D0FC2" w:rsidRPr="006E18B2">
        <w:t>transaction is not allowed on a SB, the Fiscal Officer must disapprove the document.</w:t>
      </w:r>
      <w:r w:rsidR="00D3316F" w:rsidRPr="006E18B2">
        <w:t xml:space="preserve">  </w:t>
      </w:r>
      <w:r w:rsidR="00944AF5">
        <w:t>This is necessary to ensure t</w:t>
      </w:r>
      <w:r w:rsidR="00D3316F" w:rsidRPr="006E18B2">
        <w:t xml:space="preserve">hat transactions are processed correctly </w:t>
      </w:r>
      <w:r w:rsidR="00944AF5">
        <w:t xml:space="preserve">in </w:t>
      </w:r>
      <w:r w:rsidR="00D3316F" w:rsidRPr="006E18B2">
        <w:t>the General Ledger</w:t>
      </w:r>
      <w:r w:rsidR="00944AF5">
        <w:t>.</w:t>
      </w:r>
      <w:r w:rsidR="00291714">
        <w:t xml:space="preserve">  The Initiator and Completer will have to redo the transaction.</w:t>
      </w:r>
    </w:p>
    <w:p w14:paraId="2F163CC9" w14:textId="22BA9AFD" w:rsidR="007966FD" w:rsidRPr="006E18B2" w:rsidRDefault="007966FD" w:rsidP="007966FD">
      <w:pPr>
        <w:pStyle w:val="ListParagraph"/>
        <w:numPr>
          <w:ilvl w:val="0"/>
          <w:numId w:val="1"/>
        </w:numPr>
      </w:pPr>
      <w:r w:rsidRPr="006E18B2">
        <w:rPr>
          <w:lang w:val="en-US"/>
        </w:rPr>
        <w:t xml:space="preserve">It is the responsibility of all </w:t>
      </w:r>
      <w:r w:rsidR="002F380F" w:rsidRPr="006E18B2">
        <w:rPr>
          <w:lang w:val="en-US"/>
        </w:rPr>
        <w:t xml:space="preserve">individuals in the route log of the </w:t>
      </w:r>
      <w:r w:rsidRPr="006E18B2">
        <w:rPr>
          <w:lang w:val="en-US"/>
        </w:rPr>
        <w:t xml:space="preserve">SB to ensure </w:t>
      </w:r>
      <w:r w:rsidR="00670393" w:rsidRPr="006E18B2">
        <w:rPr>
          <w:lang w:val="en-US"/>
        </w:rPr>
        <w:t>the SB</w:t>
      </w:r>
      <w:r w:rsidRPr="006E18B2">
        <w:rPr>
          <w:lang w:val="en-US"/>
        </w:rPr>
        <w:t xml:space="preserve"> is used for the </w:t>
      </w:r>
      <w:r w:rsidR="00AA1856" w:rsidRPr="006E18B2">
        <w:rPr>
          <w:lang w:val="en-US"/>
        </w:rPr>
        <w:t>permissible</w:t>
      </w:r>
      <w:r w:rsidRPr="006E18B2">
        <w:rPr>
          <w:lang w:val="en-US"/>
        </w:rPr>
        <w:t xml:space="preserve"> purpose only.</w:t>
      </w:r>
    </w:p>
    <w:p w14:paraId="37614052" w14:textId="434BFBC9" w:rsidR="007966FD" w:rsidRPr="006E18B2" w:rsidRDefault="007966FD" w:rsidP="007966FD">
      <w:pPr>
        <w:pStyle w:val="ListParagraph"/>
        <w:numPr>
          <w:ilvl w:val="0"/>
          <w:numId w:val="1"/>
        </w:numPr>
        <w:rPr>
          <w:b/>
          <w:bCs/>
        </w:rPr>
      </w:pPr>
      <w:r w:rsidRPr="006E18B2">
        <w:rPr>
          <w:b/>
          <w:bCs/>
          <w:lang w:val="en-US"/>
        </w:rPr>
        <w:t xml:space="preserve">A Service Billing </w:t>
      </w:r>
      <w:r w:rsidR="004942BA" w:rsidRPr="006E18B2">
        <w:rPr>
          <w:b/>
          <w:bCs/>
          <w:lang w:val="en-US"/>
        </w:rPr>
        <w:t xml:space="preserve">(SB) </w:t>
      </w:r>
      <w:r w:rsidRPr="006E18B2">
        <w:rPr>
          <w:b/>
          <w:bCs/>
          <w:lang w:val="en-US"/>
        </w:rPr>
        <w:t>may ONLY be used for:</w:t>
      </w:r>
    </w:p>
    <w:p w14:paraId="7DF63096" w14:textId="4808600C" w:rsidR="006D1B76" w:rsidRPr="006E18B2" w:rsidRDefault="00670393" w:rsidP="00783B6E">
      <w:pPr>
        <w:pStyle w:val="ListParagraph"/>
        <w:numPr>
          <w:ilvl w:val="1"/>
          <w:numId w:val="1"/>
        </w:numPr>
      </w:pPr>
      <w:r w:rsidRPr="006E18B2">
        <w:rPr>
          <w:lang w:val="en-US"/>
        </w:rPr>
        <w:t>Internal s</w:t>
      </w:r>
      <w:r w:rsidR="007966FD" w:rsidRPr="006E18B2">
        <w:rPr>
          <w:lang w:val="en-US"/>
        </w:rPr>
        <w:t xml:space="preserve">ervices rendered between departments within the </w:t>
      </w:r>
      <w:r w:rsidR="00A551FB">
        <w:rPr>
          <w:lang w:val="en-US"/>
        </w:rPr>
        <w:t>U</w:t>
      </w:r>
      <w:r w:rsidR="007966FD" w:rsidRPr="006E18B2">
        <w:rPr>
          <w:lang w:val="en-US"/>
        </w:rPr>
        <w:t>niversity</w:t>
      </w:r>
      <w:r w:rsidR="00077777" w:rsidRPr="006E18B2">
        <w:rPr>
          <w:lang w:val="en-US"/>
        </w:rPr>
        <w:t>.</w:t>
      </w:r>
    </w:p>
    <w:p w14:paraId="7088D50B" w14:textId="305D58B0" w:rsidR="00BA5EBC" w:rsidRPr="006E18B2" w:rsidRDefault="006E7CEF" w:rsidP="007966FD">
      <w:pPr>
        <w:pStyle w:val="ListParagraph"/>
        <w:numPr>
          <w:ilvl w:val="1"/>
          <w:numId w:val="1"/>
        </w:numPr>
      </w:pPr>
      <w:r w:rsidRPr="006E18B2">
        <w:rPr>
          <w:lang w:val="en-US"/>
        </w:rPr>
        <w:t xml:space="preserve">Examples of </w:t>
      </w:r>
      <w:r w:rsidR="00CE01E0">
        <w:rPr>
          <w:lang w:val="en-US"/>
        </w:rPr>
        <w:t xml:space="preserve">internal </w:t>
      </w:r>
      <w:r w:rsidRPr="006E18B2">
        <w:rPr>
          <w:lang w:val="en-US"/>
        </w:rPr>
        <w:t>s</w:t>
      </w:r>
      <w:r w:rsidR="007966FD" w:rsidRPr="006E18B2">
        <w:rPr>
          <w:lang w:val="en-US"/>
        </w:rPr>
        <w:t xml:space="preserve">ervice departments </w:t>
      </w:r>
      <w:r w:rsidR="00117247" w:rsidRPr="006E18B2">
        <w:rPr>
          <w:lang w:val="en-US"/>
        </w:rPr>
        <w:t xml:space="preserve">that may receive income through a SB </w:t>
      </w:r>
      <w:r w:rsidR="003E6047" w:rsidRPr="006E18B2">
        <w:rPr>
          <w:lang w:val="en-US"/>
        </w:rPr>
        <w:t>include:</w:t>
      </w:r>
      <w:r w:rsidR="007966FD" w:rsidRPr="006E18B2">
        <w:rPr>
          <w:lang w:val="en-US"/>
        </w:rPr>
        <w:t xml:space="preserve"> </w:t>
      </w:r>
      <w:r w:rsidR="003E6047" w:rsidRPr="006E18B2">
        <w:rPr>
          <w:lang w:val="en-US"/>
        </w:rPr>
        <w:t xml:space="preserve"> </w:t>
      </w:r>
    </w:p>
    <w:p w14:paraId="51852CC4" w14:textId="77777777" w:rsidR="00BA5EBC" w:rsidRPr="006E18B2" w:rsidRDefault="007966FD" w:rsidP="00BA5EBC">
      <w:pPr>
        <w:pStyle w:val="ListParagraph"/>
        <w:numPr>
          <w:ilvl w:val="2"/>
          <w:numId w:val="1"/>
        </w:numPr>
      </w:pPr>
      <w:r w:rsidRPr="006E18B2">
        <w:rPr>
          <w:lang w:val="en-US"/>
        </w:rPr>
        <w:t>Fleet vehicles</w:t>
      </w:r>
    </w:p>
    <w:p w14:paraId="61DF819B" w14:textId="77777777" w:rsidR="00BA5EBC" w:rsidRPr="006E18B2" w:rsidRDefault="007966FD" w:rsidP="00BA5EBC">
      <w:pPr>
        <w:pStyle w:val="ListParagraph"/>
        <w:numPr>
          <w:ilvl w:val="2"/>
          <w:numId w:val="1"/>
        </w:numPr>
      </w:pPr>
      <w:r w:rsidRPr="006E18B2">
        <w:rPr>
          <w:lang w:val="en-US"/>
        </w:rPr>
        <w:t>Library</w:t>
      </w:r>
    </w:p>
    <w:p w14:paraId="285C1CA0" w14:textId="77777777" w:rsidR="00BA5EBC" w:rsidRPr="006E18B2" w:rsidRDefault="007966FD" w:rsidP="00BA5EBC">
      <w:pPr>
        <w:pStyle w:val="ListParagraph"/>
        <w:numPr>
          <w:ilvl w:val="2"/>
          <w:numId w:val="1"/>
        </w:numPr>
      </w:pPr>
      <w:r w:rsidRPr="006E18B2">
        <w:rPr>
          <w:lang w:val="en-US"/>
        </w:rPr>
        <w:t>Protection Services</w:t>
      </w:r>
    </w:p>
    <w:p w14:paraId="0CE9489A" w14:textId="77777777" w:rsidR="00BA5EBC" w:rsidRPr="006E18B2" w:rsidRDefault="002536BD" w:rsidP="00BA5EBC">
      <w:pPr>
        <w:pStyle w:val="ListParagraph"/>
        <w:numPr>
          <w:ilvl w:val="2"/>
          <w:numId w:val="1"/>
        </w:numPr>
      </w:pPr>
      <w:r w:rsidRPr="006E18B2">
        <w:rPr>
          <w:lang w:val="en-US"/>
        </w:rPr>
        <w:t>Graphic design</w:t>
      </w:r>
    </w:p>
    <w:p w14:paraId="24134832" w14:textId="0A0E6ED3" w:rsidR="00BA5EBC" w:rsidRPr="006E18B2" w:rsidRDefault="00C3108E" w:rsidP="00BA5EBC">
      <w:pPr>
        <w:pStyle w:val="ListParagraph"/>
        <w:numPr>
          <w:ilvl w:val="2"/>
          <w:numId w:val="1"/>
        </w:numPr>
      </w:pPr>
      <w:r w:rsidRPr="006E18B2">
        <w:rPr>
          <w:lang w:val="en-US"/>
        </w:rPr>
        <w:t xml:space="preserve">Maintenance &amp; </w:t>
      </w:r>
      <w:r w:rsidR="00A50B45" w:rsidRPr="006E18B2">
        <w:rPr>
          <w:lang w:val="en-US"/>
        </w:rPr>
        <w:t>Facilities</w:t>
      </w:r>
    </w:p>
    <w:p w14:paraId="7E960BA7" w14:textId="1735E5CB" w:rsidR="00BA5EBC" w:rsidRPr="006E18B2" w:rsidRDefault="00077777" w:rsidP="00BA5EBC">
      <w:pPr>
        <w:pStyle w:val="ListParagraph"/>
        <w:numPr>
          <w:ilvl w:val="2"/>
          <w:numId w:val="1"/>
        </w:numPr>
      </w:pPr>
      <w:r w:rsidRPr="006E18B2">
        <w:rPr>
          <w:lang w:val="en-US"/>
        </w:rPr>
        <w:t>I</w:t>
      </w:r>
      <w:r w:rsidR="00C3108E" w:rsidRPr="006E18B2">
        <w:rPr>
          <w:lang w:val="en-US"/>
        </w:rPr>
        <w:t>nformation Technology (IT)</w:t>
      </w:r>
    </w:p>
    <w:p w14:paraId="4A89C717" w14:textId="468B89F7" w:rsidR="007966FD" w:rsidRPr="006E18B2" w:rsidRDefault="00621835" w:rsidP="00BA5EBC">
      <w:pPr>
        <w:pStyle w:val="ListParagraph"/>
        <w:numPr>
          <w:ilvl w:val="2"/>
          <w:numId w:val="1"/>
        </w:numPr>
      </w:pPr>
      <w:r w:rsidRPr="006E18B2">
        <w:rPr>
          <w:lang w:val="en-US"/>
        </w:rPr>
        <w:t>Electronic services</w:t>
      </w:r>
    </w:p>
    <w:p w14:paraId="416D4D57" w14:textId="448778F4" w:rsidR="00C3108E" w:rsidRPr="006E18B2" w:rsidRDefault="00C3108E" w:rsidP="00BA5EBC">
      <w:pPr>
        <w:pStyle w:val="ListParagraph"/>
        <w:numPr>
          <w:ilvl w:val="2"/>
          <w:numId w:val="1"/>
        </w:numPr>
      </w:pPr>
      <w:r w:rsidRPr="006E18B2">
        <w:rPr>
          <w:lang w:val="en-US"/>
        </w:rPr>
        <w:t>Marketing</w:t>
      </w:r>
    </w:p>
    <w:p w14:paraId="1C37F54B" w14:textId="629B1FBA" w:rsidR="00C3108E" w:rsidRPr="006E18B2" w:rsidRDefault="00C3108E" w:rsidP="00BA5EBC">
      <w:pPr>
        <w:pStyle w:val="ListParagraph"/>
        <w:numPr>
          <w:ilvl w:val="2"/>
          <w:numId w:val="1"/>
        </w:numPr>
      </w:pPr>
      <w:r w:rsidRPr="006E18B2">
        <w:rPr>
          <w:lang w:val="en-US"/>
        </w:rPr>
        <w:t>Residence and Catering Services (RCS)</w:t>
      </w:r>
    </w:p>
    <w:p w14:paraId="741D0DCA" w14:textId="30253B13" w:rsidR="00C3108E" w:rsidRPr="006E18B2" w:rsidRDefault="00C3108E" w:rsidP="00BA5EBC">
      <w:pPr>
        <w:pStyle w:val="ListParagraph"/>
        <w:numPr>
          <w:ilvl w:val="2"/>
          <w:numId w:val="1"/>
        </w:numPr>
      </w:pPr>
      <w:r w:rsidRPr="006E18B2">
        <w:rPr>
          <w:lang w:val="en-US"/>
        </w:rPr>
        <w:t>Instrument making</w:t>
      </w:r>
    </w:p>
    <w:p w14:paraId="1F582737" w14:textId="2AACCCF0" w:rsidR="00C3108E" w:rsidRPr="006E18B2" w:rsidRDefault="00C3108E" w:rsidP="00BA5EBC">
      <w:pPr>
        <w:pStyle w:val="ListParagraph"/>
        <w:numPr>
          <w:ilvl w:val="2"/>
          <w:numId w:val="1"/>
        </w:numPr>
      </w:pPr>
      <w:r w:rsidRPr="006E18B2">
        <w:rPr>
          <w:lang w:val="en-US"/>
        </w:rPr>
        <w:t>Occupational Health and Safety</w:t>
      </w:r>
    </w:p>
    <w:p w14:paraId="423EEC6D" w14:textId="736F9A64" w:rsidR="00117247" w:rsidRPr="006E18B2" w:rsidRDefault="00117247" w:rsidP="00117247">
      <w:pPr>
        <w:pStyle w:val="ListParagraph"/>
        <w:numPr>
          <w:ilvl w:val="1"/>
          <w:numId w:val="1"/>
        </w:numPr>
      </w:pPr>
      <w:r w:rsidRPr="006E18B2">
        <w:rPr>
          <w:lang w:val="en-US"/>
        </w:rPr>
        <w:t xml:space="preserve">A service department’s </w:t>
      </w:r>
      <w:r w:rsidR="00EE6D5C" w:rsidRPr="006E18B2">
        <w:rPr>
          <w:lang w:val="en-US"/>
        </w:rPr>
        <w:t xml:space="preserve">main purpose is service rendering.  </w:t>
      </w:r>
      <w:r w:rsidR="00944AF5">
        <w:rPr>
          <w:lang w:val="en-US"/>
        </w:rPr>
        <w:t>A s</w:t>
      </w:r>
      <w:r w:rsidRPr="006E18B2">
        <w:rPr>
          <w:lang w:val="en-US"/>
        </w:rPr>
        <w:t>ervice</w:t>
      </w:r>
      <w:r w:rsidR="00944AF5">
        <w:rPr>
          <w:lang w:val="en-US"/>
        </w:rPr>
        <w:t xml:space="preserve"> department</w:t>
      </w:r>
      <w:r w:rsidR="00B02312">
        <w:rPr>
          <w:lang w:val="en-US"/>
        </w:rPr>
        <w:t>’s services</w:t>
      </w:r>
      <w:r w:rsidRPr="006E18B2">
        <w:rPr>
          <w:lang w:val="en-US"/>
        </w:rPr>
        <w:t xml:space="preserve"> must </w:t>
      </w:r>
      <w:r w:rsidR="00B02312">
        <w:rPr>
          <w:lang w:val="en-US"/>
        </w:rPr>
        <w:t>be</w:t>
      </w:r>
      <w:r w:rsidR="00944AF5">
        <w:rPr>
          <w:lang w:val="en-US"/>
        </w:rPr>
        <w:t xml:space="preserve"> </w:t>
      </w:r>
      <w:r w:rsidR="00FC29A5">
        <w:rPr>
          <w:lang w:val="en-US"/>
        </w:rPr>
        <w:t xml:space="preserve">available </w:t>
      </w:r>
      <w:r w:rsidRPr="006E18B2">
        <w:rPr>
          <w:lang w:val="en-US"/>
        </w:rPr>
        <w:t xml:space="preserve">to all departments within the NWU </w:t>
      </w:r>
      <w:r w:rsidR="002626E1">
        <w:rPr>
          <w:lang w:val="en-US"/>
        </w:rPr>
        <w:t>to</w:t>
      </w:r>
      <w:r w:rsidRPr="006E18B2">
        <w:rPr>
          <w:lang w:val="en-US"/>
        </w:rPr>
        <w:t xml:space="preserve"> be a “service department”.  </w:t>
      </w:r>
    </w:p>
    <w:p w14:paraId="49E51F69" w14:textId="03301728" w:rsidR="002536BD" w:rsidRPr="006E18B2" w:rsidRDefault="005D6E97" w:rsidP="007966FD">
      <w:pPr>
        <w:pStyle w:val="ListParagraph"/>
        <w:numPr>
          <w:ilvl w:val="1"/>
          <w:numId w:val="1"/>
        </w:numPr>
      </w:pPr>
      <w:r>
        <w:rPr>
          <w:lang w:val="en-US"/>
        </w:rPr>
        <w:t>O</w:t>
      </w:r>
      <w:r w:rsidR="002536BD" w:rsidRPr="006E18B2">
        <w:rPr>
          <w:lang w:val="en-US"/>
        </w:rPr>
        <w:t xml:space="preserve">ther </w:t>
      </w:r>
      <w:r w:rsidR="00727F97">
        <w:rPr>
          <w:lang w:val="en-US"/>
        </w:rPr>
        <w:t xml:space="preserve">examples of </w:t>
      </w:r>
      <w:r w:rsidR="002536BD" w:rsidRPr="006E18B2">
        <w:rPr>
          <w:lang w:val="en-US"/>
        </w:rPr>
        <w:t xml:space="preserve">services </w:t>
      </w:r>
      <w:r w:rsidR="001321A3" w:rsidRPr="006E18B2">
        <w:rPr>
          <w:lang w:val="en-US"/>
        </w:rPr>
        <w:t xml:space="preserve">(not rendered by a service department but still an internal service) </w:t>
      </w:r>
      <w:r w:rsidR="00077777" w:rsidRPr="006E18B2">
        <w:rPr>
          <w:lang w:val="en-US"/>
        </w:rPr>
        <w:t xml:space="preserve">that are </w:t>
      </w:r>
      <w:r w:rsidR="001321A3" w:rsidRPr="006E18B2">
        <w:rPr>
          <w:lang w:val="en-US"/>
        </w:rPr>
        <w:t xml:space="preserve">also </w:t>
      </w:r>
      <w:r w:rsidR="002536BD" w:rsidRPr="006E18B2">
        <w:rPr>
          <w:lang w:val="en-US"/>
        </w:rPr>
        <w:t xml:space="preserve">allowed to </w:t>
      </w:r>
      <w:r w:rsidR="000A6A25" w:rsidRPr="006E18B2">
        <w:rPr>
          <w:lang w:val="en-US"/>
        </w:rPr>
        <w:t>be paid with a SB include:</w:t>
      </w:r>
    </w:p>
    <w:p w14:paraId="76D7D5FC" w14:textId="338DD7FE" w:rsidR="002F380F" w:rsidRPr="006E18B2" w:rsidRDefault="00621835" w:rsidP="002F380F">
      <w:pPr>
        <w:pStyle w:val="ListParagraph"/>
        <w:numPr>
          <w:ilvl w:val="2"/>
          <w:numId w:val="1"/>
        </w:numPr>
      </w:pPr>
      <w:r w:rsidRPr="006E18B2">
        <w:rPr>
          <w:lang w:val="en-US"/>
        </w:rPr>
        <w:t>Internal conference</w:t>
      </w:r>
      <w:r w:rsidR="00315F18" w:rsidRPr="006E18B2">
        <w:rPr>
          <w:lang w:val="en-US"/>
        </w:rPr>
        <w:t xml:space="preserve"> attendance</w:t>
      </w:r>
    </w:p>
    <w:p w14:paraId="4D0E3EE9" w14:textId="3AF2D85D" w:rsidR="002F380F" w:rsidRPr="006E18B2" w:rsidRDefault="002F380F" w:rsidP="002F380F">
      <w:pPr>
        <w:pStyle w:val="ListParagraph"/>
        <w:numPr>
          <w:ilvl w:val="2"/>
          <w:numId w:val="1"/>
        </w:numPr>
      </w:pPr>
      <w:r w:rsidRPr="006E18B2">
        <w:rPr>
          <w:lang w:val="en-US"/>
        </w:rPr>
        <w:t xml:space="preserve">Use of </w:t>
      </w:r>
      <w:r w:rsidR="003E6047" w:rsidRPr="006E18B2">
        <w:rPr>
          <w:lang w:val="en-US"/>
        </w:rPr>
        <w:t>laboratories</w:t>
      </w:r>
    </w:p>
    <w:p w14:paraId="4C310C40" w14:textId="10D48B37" w:rsidR="00DB77C7" w:rsidRPr="006E18B2" w:rsidRDefault="00DB77C7" w:rsidP="002F380F">
      <w:pPr>
        <w:pStyle w:val="ListParagraph"/>
        <w:numPr>
          <w:ilvl w:val="2"/>
          <w:numId w:val="1"/>
        </w:numPr>
      </w:pPr>
      <w:r w:rsidRPr="006E18B2">
        <w:rPr>
          <w:lang w:val="en-US"/>
        </w:rPr>
        <w:t>Analysis services</w:t>
      </w:r>
    </w:p>
    <w:p w14:paraId="2D7ED883" w14:textId="4A830978" w:rsidR="00155D46" w:rsidRPr="006E18B2" w:rsidRDefault="00315F18" w:rsidP="002F380F">
      <w:pPr>
        <w:pStyle w:val="ListParagraph"/>
        <w:numPr>
          <w:ilvl w:val="2"/>
          <w:numId w:val="1"/>
        </w:numPr>
      </w:pPr>
      <w:r w:rsidRPr="006E18B2">
        <w:t>Video edit</w:t>
      </w:r>
      <w:r w:rsidR="00DB77C7" w:rsidRPr="006E18B2">
        <w:t xml:space="preserve"> &amp; recording services</w:t>
      </w:r>
    </w:p>
    <w:p w14:paraId="200F2407" w14:textId="37BD796F" w:rsidR="00DB77C7" w:rsidRPr="006E18B2" w:rsidRDefault="00DB77C7" w:rsidP="002F380F">
      <w:pPr>
        <w:pStyle w:val="ListParagraph"/>
        <w:numPr>
          <w:ilvl w:val="2"/>
          <w:numId w:val="1"/>
        </w:numPr>
      </w:pPr>
      <w:r w:rsidRPr="006E18B2">
        <w:t>Statistic</w:t>
      </w:r>
      <w:r w:rsidR="00F87EA6" w:rsidRPr="006E18B2">
        <w:t>al</w:t>
      </w:r>
      <w:r w:rsidRPr="006E18B2">
        <w:t xml:space="preserve"> services</w:t>
      </w:r>
    </w:p>
    <w:p w14:paraId="5889D526" w14:textId="071AE971" w:rsidR="00DB77C7" w:rsidRPr="006E18B2" w:rsidRDefault="00DB77C7" w:rsidP="002F380F">
      <w:pPr>
        <w:pStyle w:val="ListParagraph"/>
        <w:numPr>
          <w:ilvl w:val="2"/>
          <w:numId w:val="1"/>
        </w:numPr>
      </w:pPr>
      <w:r w:rsidRPr="006E18B2">
        <w:t>Institute for Sport Sciences and development &amp; Institute for Biokinetics</w:t>
      </w:r>
    </w:p>
    <w:p w14:paraId="2E7A42E2" w14:textId="4CC3D639" w:rsidR="00832DF5" w:rsidRDefault="00832DF5" w:rsidP="00832DF5">
      <w:pPr>
        <w:pStyle w:val="ListParagraph"/>
        <w:numPr>
          <w:ilvl w:val="1"/>
          <w:numId w:val="1"/>
        </w:numPr>
      </w:pPr>
      <w:r w:rsidRPr="006E18B2">
        <w:t>Internal sales of goods are also allowed on a Service Billing.</w:t>
      </w:r>
    </w:p>
    <w:p w14:paraId="70FC93DE" w14:textId="17FC7070" w:rsidR="00155D46" w:rsidRPr="006E18B2" w:rsidRDefault="00155D46" w:rsidP="00155D46">
      <w:pPr>
        <w:pStyle w:val="ListParagraph"/>
        <w:numPr>
          <w:ilvl w:val="0"/>
          <w:numId w:val="1"/>
        </w:numPr>
        <w:rPr>
          <w:b/>
          <w:bCs/>
        </w:rPr>
      </w:pPr>
      <w:r w:rsidRPr="006E18B2">
        <w:rPr>
          <w:b/>
          <w:bCs/>
        </w:rPr>
        <w:lastRenderedPageBreak/>
        <w:t>Service Billings may NOT be used for:</w:t>
      </w:r>
    </w:p>
    <w:p w14:paraId="4A723933" w14:textId="448F6F93" w:rsidR="00155D46" w:rsidRDefault="00670393" w:rsidP="00155D46">
      <w:pPr>
        <w:pStyle w:val="ListParagraph"/>
        <w:numPr>
          <w:ilvl w:val="1"/>
          <w:numId w:val="1"/>
        </w:numPr>
      </w:pPr>
      <w:r w:rsidRPr="006E18B2">
        <w:t>T</w:t>
      </w:r>
      <w:r w:rsidR="00155D46" w:rsidRPr="006E18B2">
        <w:t>ransfer</w:t>
      </w:r>
      <w:r w:rsidRPr="006E18B2">
        <w:t>ring</w:t>
      </w:r>
      <w:r w:rsidR="00155D46" w:rsidRPr="006E18B2">
        <w:t xml:space="preserve"> funds</w:t>
      </w:r>
    </w:p>
    <w:p w14:paraId="4DB82315" w14:textId="33C89883" w:rsidR="005D6E97" w:rsidRPr="006E18B2" w:rsidRDefault="005D6E97" w:rsidP="005D6E97">
      <w:pPr>
        <w:pStyle w:val="ListParagraph"/>
        <w:numPr>
          <w:ilvl w:val="1"/>
          <w:numId w:val="1"/>
        </w:numPr>
      </w:pPr>
      <w:r w:rsidRPr="005D6E97">
        <w:t>Interdepartmental sale of capital items (asset) – use TF</w:t>
      </w:r>
    </w:p>
    <w:p w14:paraId="3E1B7DE0" w14:textId="2A9550FA" w:rsidR="00155D46" w:rsidRPr="006E18B2" w:rsidRDefault="000B7AF4" w:rsidP="00155D46">
      <w:pPr>
        <w:pStyle w:val="ListParagraph"/>
        <w:numPr>
          <w:ilvl w:val="1"/>
          <w:numId w:val="1"/>
        </w:numPr>
      </w:pPr>
      <w:r w:rsidRPr="006E18B2">
        <w:t>Receiving funds on a 3F account for staff development income</w:t>
      </w:r>
      <w:r w:rsidR="00670393" w:rsidRPr="006E18B2">
        <w:t>.  Use the correct journal form for staff development income.</w:t>
      </w:r>
      <w:r w:rsidR="00494D0F" w:rsidRPr="006E18B2">
        <w:t xml:space="preserve">  (RJV E-doc)</w:t>
      </w:r>
    </w:p>
    <w:p w14:paraId="3D503FB1" w14:textId="1FD29930" w:rsidR="00621835" w:rsidRPr="006E18B2" w:rsidRDefault="00621835" w:rsidP="00155D46">
      <w:pPr>
        <w:pStyle w:val="ListParagraph"/>
        <w:numPr>
          <w:ilvl w:val="1"/>
          <w:numId w:val="1"/>
        </w:numPr>
      </w:pPr>
      <w:r w:rsidRPr="006E18B2">
        <w:t xml:space="preserve">Short course training (UCE training: 3C accounts) – must be </w:t>
      </w:r>
      <w:r w:rsidR="001321A3" w:rsidRPr="006E18B2">
        <w:t>an</w:t>
      </w:r>
      <w:r w:rsidRPr="006E18B2">
        <w:t xml:space="preserve"> RJV</w:t>
      </w:r>
    </w:p>
    <w:p w14:paraId="786EA266" w14:textId="4DCC2E0B" w:rsidR="00BA5EBC" w:rsidRDefault="00BA5EBC" w:rsidP="00BA5EBC">
      <w:pPr>
        <w:pStyle w:val="ListParagraph"/>
        <w:numPr>
          <w:ilvl w:val="0"/>
          <w:numId w:val="1"/>
        </w:numPr>
      </w:pPr>
      <w:r w:rsidRPr="006E18B2">
        <w:t>Income objects:  The SB will now only allow income to be received on the “Internal Income” objects.  You will receive an error message if the incorrect income object is used.</w:t>
      </w:r>
      <w:r w:rsidR="00182005">
        <w:t xml:space="preserve">  </w:t>
      </w:r>
    </w:p>
    <w:p w14:paraId="727ABE6D" w14:textId="500C2BAA" w:rsidR="00FB2E4F" w:rsidRDefault="008659CB" w:rsidP="008659CB">
      <w:pPr>
        <w:pStyle w:val="ListParagraph"/>
        <w:numPr>
          <w:ilvl w:val="0"/>
          <w:numId w:val="1"/>
        </w:numPr>
      </w:pPr>
      <w:r w:rsidRPr="006E18B2">
        <w:t xml:space="preserve">You need access to </w:t>
      </w:r>
      <w:proofErr w:type="spellStart"/>
      <w:r w:rsidRPr="006E18B2">
        <w:t>Role</w:t>
      </w:r>
      <w:proofErr w:type="spellEnd"/>
      <w:r w:rsidRPr="006E18B2">
        <w:t xml:space="preserve"> 13 (SB income) to be able to complete the </w:t>
      </w:r>
      <w:r w:rsidRPr="00BF5499">
        <w:t>Income</w:t>
      </w:r>
      <w:r w:rsidRPr="006E18B2">
        <w:t xml:space="preserve"> accounting line.  The </w:t>
      </w:r>
      <w:r w:rsidR="000057A7">
        <w:t xml:space="preserve">current </w:t>
      </w:r>
      <w:r w:rsidRPr="006E18B2">
        <w:t xml:space="preserve">access to this role will be revised.  </w:t>
      </w:r>
      <w:r w:rsidR="00FB2E4F">
        <w:t xml:space="preserve">Examples of access that will be closed: </w:t>
      </w:r>
    </w:p>
    <w:p w14:paraId="4C998923" w14:textId="77777777" w:rsidR="00FB2E4F" w:rsidRDefault="00FB2E4F" w:rsidP="00FB2E4F">
      <w:pPr>
        <w:pStyle w:val="ListParagraph"/>
        <w:numPr>
          <w:ilvl w:val="1"/>
          <w:numId w:val="1"/>
        </w:numPr>
      </w:pPr>
      <w:r>
        <w:t xml:space="preserve">if the applicable account is already closed, </w:t>
      </w:r>
    </w:p>
    <w:p w14:paraId="5774B10E" w14:textId="036CCEB4" w:rsidR="00FB2E4F" w:rsidRDefault="00FB2E4F" w:rsidP="00FB2E4F">
      <w:pPr>
        <w:pStyle w:val="ListParagraph"/>
        <w:numPr>
          <w:ilvl w:val="1"/>
          <w:numId w:val="1"/>
        </w:numPr>
      </w:pPr>
      <w:r>
        <w:t>if the specific role</w:t>
      </w:r>
      <w:r w:rsidR="0041596C">
        <w:t>/access</w:t>
      </w:r>
      <w:r>
        <w:t xml:space="preserve"> wasn’t used since 2018 or </w:t>
      </w:r>
    </w:p>
    <w:p w14:paraId="0E66EB3D" w14:textId="77777777" w:rsidR="0041596C" w:rsidRDefault="00FB2E4F" w:rsidP="00FB2E4F">
      <w:pPr>
        <w:pStyle w:val="ListParagraph"/>
        <w:numPr>
          <w:ilvl w:val="1"/>
          <w:numId w:val="1"/>
        </w:numPr>
      </w:pPr>
      <w:r>
        <w:t xml:space="preserve">if it was used for other purposes than </w:t>
      </w:r>
      <w:r w:rsidR="0041596C">
        <w:t xml:space="preserve">payment for </w:t>
      </w:r>
      <w:r>
        <w:t>internal service</w:t>
      </w:r>
      <w:r w:rsidR="0041596C">
        <w:t>s</w:t>
      </w:r>
    </w:p>
    <w:p w14:paraId="12CC2C52" w14:textId="01197985" w:rsidR="008659CB" w:rsidRPr="006E18B2" w:rsidRDefault="006D2E1A" w:rsidP="006D2E1A">
      <w:pPr>
        <w:ind w:left="720"/>
      </w:pPr>
      <w:r>
        <w:t>Y</w:t>
      </w:r>
      <w:r w:rsidR="008659CB" w:rsidRPr="006E18B2">
        <w:t xml:space="preserve">ou will need to motivate why you </w:t>
      </w:r>
      <w:r w:rsidR="00393DA8">
        <w:t>must</w:t>
      </w:r>
      <w:r w:rsidR="008659CB" w:rsidRPr="006E18B2">
        <w:t xml:space="preserve"> use the SB on a specific account should </w:t>
      </w:r>
      <w:r w:rsidR="008659CB">
        <w:t xml:space="preserve">you </w:t>
      </w:r>
      <w:r w:rsidR="008659CB" w:rsidRPr="006E18B2">
        <w:t xml:space="preserve">need access </w:t>
      </w:r>
      <w:r w:rsidR="00651F47">
        <w:t xml:space="preserve">to </w:t>
      </w:r>
      <w:proofErr w:type="spellStart"/>
      <w:r w:rsidR="00651F47">
        <w:t>Role</w:t>
      </w:r>
      <w:proofErr w:type="spellEnd"/>
      <w:r w:rsidR="00651F47">
        <w:t xml:space="preserve"> 13</w:t>
      </w:r>
      <w:r w:rsidR="008659CB" w:rsidRPr="006E18B2">
        <w:t xml:space="preserve">.  </w:t>
      </w:r>
      <w:r w:rsidR="008659CB">
        <w:t xml:space="preserve">Please apply with the </w:t>
      </w:r>
      <w:r w:rsidR="008659CB" w:rsidRPr="0041596C">
        <w:rPr>
          <w:i/>
          <w:iCs/>
        </w:rPr>
        <w:t>KFS User Registration/modification</w:t>
      </w:r>
      <w:r w:rsidR="008659CB">
        <w:t xml:space="preserve"> transaction E-doc for access to be granted.  </w:t>
      </w:r>
      <w:r w:rsidR="00C60B28">
        <w:t>En</w:t>
      </w:r>
      <w:r w:rsidR="008659CB">
        <w:t>sure your motivation is attached.</w:t>
      </w:r>
    </w:p>
    <w:p w14:paraId="61B25DFA" w14:textId="77777777" w:rsidR="008659CB" w:rsidRPr="006E18B2" w:rsidRDefault="008659CB" w:rsidP="008659CB">
      <w:pPr>
        <w:pStyle w:val="ListParagraph"/>
      </w:pPr>
    </w:p>
    <w:sectPr w:rsidR="008659CB" w:rsidRPr="006E18B2" w:rsidSect="00F458CB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504CA"/>
    <w:multiLevelType w:val="hybridMultilevel"/>
    <w:tmpl w:val="18C48F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95"/>
    <w:rsid w:val="000057A7"/>
    <w:rsid w:val="0001392C"/>
    <w:rsid w:val="000501AE"/>
    <w:rsid w:val="00077777"/>
    <w:rsid w:val="000A1645"/>
    <w:rsid w:val="000A1848"/>
    <w:rsid w:val="000A6A25"/>
    <w:rsid w:val="000B7AF4"/>
    <w:rsid w:val="00117247"/>
    <w:rsid w:val="001321A3"/>
    <w:rsid w:val="00135A95"/>
    <w:rsid w:val="00143790"/>
    <w:rsid w:val="00144672"/>
    <w:rsid w:val="00155D46"/>
    <w:rsid w:val="00182005"/>
    <w:rsid w:val="00184967"/>
    <w:rsid w:val="00196F11"/>
    <w:rsid w:val="001E0278"/>
    <w:rsid w:val="002536BD"/>
    <w:rsid w:val="002626E1"/>
    <w:rsid w:val="00270BA0"/>
    <w:rsid w:val="00274961"/>
    <w:rsid w:val="00274CED"/>
    <w:rsid w:val="00291714"/>
    <w:rsid w:val="002C00A7"/>
    <w:rsid w:val="002C0714"/>
    <w:rsid w:val="002C7054"/>
    <w:rsid w:val="002F380F"/>
    <w:rsid w:val="00315F18"/>
    <w:rsid w:val="00383C7C"/>
    <w:rsid w:val="00393DA8"/>
    <w:rsid w:val="0039612E"/>
    <w:rsid w:val="00396232"/>
    <w:rsid w:val="003C7817"/>
    <w:rsid w:val="003E6047"/>
    <w:rsid w:val="003E65CE"/>
    <w:rsid w:val="0041596C"/>
    <w:rsid w:val="004401C2"/>
    <w:rsid w:val="00441E45"/>
    <w:rsid w:val="004942BA"/>
    <w:rsid w:val="00494D0F"/>
    <w:rsid w:val="004D5FC8"/>
    <w:rsid w:val="004E2F99"/>
    <w:rsid w:val="004F6D59"/>
    <w:rsid w:val="00525CF1"/>
    <w:rsid w:val="0054500C"/>
    <w:rsid w:val="00573F31"/>
    <w:rsid w:val="005D6E97"/>
    <w:rsid w:val="00621835"/>
    <w:rsid w:val="00622C0D"/>
    <w:rsid w:val="0063699E"/>
    <w:rsid w:val="00651F47"/>
    <w:rsid w:val="00666FCB"/>
    <w:rsid w:val="00670393"/>
    <w:rsid w:val="0067769F"/>
    <w:rsid w:val="00694203"/>
    <w:rsid w:val="006B60B9"/>
    <w:rsid w:val="006D1B76"/>
    <w:rsid w:val="006D2E1A"/>
    <w:rsid w:val="006E18B2"/>
    <w:rsid w:val="006E7CEF"/>
    <w:rsid w:val="0071647A"/>
    <w:rsid w:val="00727F97"/>
    <w:rsid w:val="00733CE2"/>
    <w:rsid w:val="007551F7"/>
    <w:rsid w:val="00783B6E"/>
    <w:rsid w:val="007966FD"/>
    <w:rsid w:val="007A47F9"/>
    <w:rsid w:val="007C0737"/>
    <w:rsid w:val="007D1E05"/>
    <w:rsid w:val="008220B4"/>
    <w:rsid w:val="00832DF5"/>
    <w:rsid w:val="008659CB"/>
    <w:rsid w:val="0087164D"/>
    <w:rsid w:val="00886E91"/>
    <w:rsid w:val="008C6B06"/>
    <w:rsid w:val="008D0FC2"/>
    <w:rsid w:val="008E3D53"/>
    <w:rsid w:val="00934A70"/>
    <w:rsid w:val="00944AF5"/>
    <w:rsid w:val="00A169A8"/>
    <w:rsid w:val="00A50A2F"/>
    <w:rsid w:val="00A50B45"/>
    <w:rsid w:val="00A5484F"/>
    <w:rsid w:val="00A551FB"/>
    <w:rsid w:val="00AA1856"/>
    <w:rsid w:val="00AF30EF"/>
    <w:rsid w:val="00AF43A6"/>
    <w:rsid w:val="00AF7D60"/>
    <w:rsid w:val="00B02312"/>
    <w:rsid w:val="00B1715F"/>
    <w:rsid w:val="00B441A1"/>
    <w:rsid w:val="00B45A5A"/>
    <w:rsid w:val="00B668CF"/>
    <w:rsid w:val="00B66C08"/>
    <w:rsid w:val="00BA5EBC"/>
    <w:rsid w:val="00BF5499"/>
    <w:rsid w:val="00C3108E"/>
    <w:rsid w:val="00C46BBE"/>
    <w:rsid w:val="00C60B28"/>
    <w:rsid w:val="00C67558"/>
    <w:rsid w:val="00C712BA"/>
    <w:rsid w:val="00C719ED"/>
    <w:rsid w:val="00CC3770"/>
    <w:rsid w:val="00CD5B90"/>
    <w:rsid w:val="00CE01E0"/>
    <w:rsid w:val="00D1152F"/>
    <w:rsid w:val="00D3316F"/>
    <w:rsid w:val="00D9451E"/>
    <w:rsid w:val="00DA41C1"/>
    <w:rsid w:val="00DB77C7"/>
    <w:rsid w:val="00DE1820"/>
    <w:rsid w:val="00E113DA"/>
    <w:rsid w:val="00E37DE8"/>
    <w:rsid w:val="00EB1897"/>
    <w:rsid w:val="00EE6D4B"/>
    <w:rsid w:val="00EE6D5C"/>
    <w:rsid w:val="00F21D9E"/>
    <w:rsid w:val="00F26434"/>
    <w:rsid w:val="00F458CB"/>
    <w:rsid w:val="00F641CF"/>
    <w:rsid w:val="00F733FA"/>
    <w:rsid w:val="00F80695"/>
    <w:rsid w:val="00F8073C"/>
    <w:rsid w:val="00F84452"/>
    <w:rsid w:val="00F87EA6"/>
    <w:rsid w:val="00FB2E4F"/>
    <w:rsid w:val="00FB2FED"/>
    <w:rsid w:val="00FB784C"/>
    <w:rsid w:val="00FC29A5"/>
    <w:rsid w:val="00F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308D4"/>
  <w15:chartTrackingRefBased/>
  <w15:docId w15:val="{E159DFBF-6807-4EFB-AC8E-46FB3AD3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6FD"/>
    <w:pPr>
      <w:ind w:left="720"/>
      <w:contextualSpacing/>
    </w:pPr>
  </w:style>
  <w:style w:type="paragraph" w:customStyle="1" w:styleId="Department">
    <w:name w:val="Department"/>
    <w:basedOn w:val="Normal"/>
    <w:next w:val="Normal"/>
    <w:rsid w:val="00F641CF"/>
    <w:pPr>
      <w:spacing w:after="120" w:line="240" w:lineRule="auto"/>
      <w:jc w:val="both"/>
    </w:pPr>
    <w:rPr>
      <w:rFonts w:ascii="Arial" w:eastAsia="Times New Roman" w:hAnsi="Arial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5769B-A85D-49FA-94BA-A775A58E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 MULLER</dc:creator>
  <cp:keywords/>
  <dc:description/>
  <cp:lastModifiedBy>CHIMONE BARENDS</cp:lastModifiedBy>
  <cp:revision>2</cp:revision>
  <cp:lastPrinted>2022-08-15T13:59:00Z</cp:lastPrinted>
  <dcterms:created xsi:type="dcterms:W3CDTF">2022-08-19T07:21:00Z</dcterms:created>
  <dcterms:modified xsi:type="dcterms:W3CDTF">2022-08-19T07:21:00Z</dcterms:modified>
</cp:coreProperties>
</file>